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Ситолиевой Валентины Галимовны и Часовниковой Евгении Львовны на нарушение их конституционных прав статьей 39014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В.Г.Ситолиевой и Е.Л.Часовниковой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В.Г.Ситолиева и Е.Л.Часовникова, которым определением судьи Верховного Суда Российской Федерации было отказано в передаче кассационной жалобы для рассмотрения в судебном заседании Судебной коллегии по гражданским делам этого суда, оспаривают конституционность статьи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По мнению заявительниц, оспариваемое законоположение, по смыслу, придаваемому ему правоприменительной практикой, противоречит статьям 118 (часть 2) и 125 (части 1 и 6) Конституции Российской Федерации, поскольку позволяет судье Верховного Суда Российской Федерации 2 игнорировать юридическую силу определений Конституционного Суда Российской Федерации об отказе в принятии жалоб к рассмотрению, в которых был выявлен конституционно-правовой смысл нормы закона, отличный от смысла, в котором эта норма была применена в деле лица, подавшего кассационную жалобу.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от 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Ситолиевой Валентины Галимовны и Часовниковой Евгении Львовны,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