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Камалиевой Татьяны Николаевны на нарушение ее конституционных прав статьями 17, 87, частями первой и четвертой статьи 88 и статьей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Т.Н.Камалиевой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Т.Н.Камалиева, осужденная за пособничество в присвоении и растрате чужого имущества в особо крупном размере, оспаривает конституционность статей 17 «Свобода оценки доказательств», 87 «Проверка доказательств», частей первой и четвертой статьи 88 «Правила оценки доказательств» и статьи 307 «Описательно-мотивировочная часть обвинительного приговора» УПК Российской Федерации. По мнению заявительницы, оспариваемые нормативные положения не соответствуют статьям 2, 17–19, 34, 35, 37, 45, 46 и 55 (часть 3) Конституции 2 Российской Федерации, поскольку позволяют лишать подсудимых принадлежащих им конституционных прав, постановлять незаконный, необоснованный и неправосудный приговор.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Т.Н.Камалиевой, возражающей против судебной оценки фактических обстоятельств своего дела, и приведенные ею в обоснование своей позиции доводы свидетельствуют о том, что нарушение своих прав она связывает не с содержанием оспариваемых норм, а с невыполнением, по ее мнению, их предписаний в ее уголовном деле. Тем самым заявительница,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ее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Камалиевой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