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Тамары Константиновны на нарушение ее конституционных прав пунктом «б» части 2 статьи 125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Т.К.Романовой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Т.К.Романова, ссылаясь на допущенные, по ее мнению, нарушения при внесении Законом Российской Федерации о поправке к Конституции Российской Федерации от 14 марта 2020 года № 1-ФКЗ «О совершенствовании регулирования отдельных вопросов организации и функционирования публичной власти» изменений в часть 4 статьи 125 Конституции Российской Федерации, оспаривает конституционность пункта «б» части 2 статьи 125 Конституции Российской Федерации, который, как утверждает заявительница, ограничивает полномочия Конституционного Суда Российской Федерации и препятствует защите прав и свобод граждан, а потому не подлежит применению. 2 Кроме того, Т.К.Романова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и Федеральный конституционный закон «О Конституционном Суде Российской Федерации» не наделяют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Тамары Константиновны, поскольку разрешение поставленных в ней 3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