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831366-О/2025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Икряновой Оксаны Аликовны на нарушение ее конституционных прав пунктом 1 статьи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О.А.Икряновой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О.А.Икрянова оспаривает конституционность пункта 1 статьи 152 «Защита чести, достоинства и деловой репутации»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заявительнице отказано в удовлетворении иска о защите чести и достоинства О.А.Икряновой и ее несовершеннолетнего сына. Суды при этом исходили из того, что распространенные в переписке в сервисе обмена мгновенными сообщениями сведения не содержат утверждений о фактах и являются субъективным мнением авторов сообщения, в связи с чем они не могут быть проверены на предмет их соответствия действительности. 2 По мнению О.А.Икряновой, оспариваемая норма противоречит статьям 17 (часть 1), 21 (часть 1), 23 (часть 1), 43 (часть 2), 45 (часть 2) и 46 (часть 1) Конституции Российской Федерации в той мере, в какой – в силу неопределенности ее содержания – она позволяет распространять порочащие граждан сведения в отсутствие доказательств их соответствия действительности. Кроме этого, заявительница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жалобе (в частности, о том, что суды неверно оценили представленные доказательства, ограничили истца в доказывании обстоятельств, имеющих юридическое значение для разрешения спора), свидетельствуют о том, что, формально оспаривая конституционность указанной нормы, фактически О.А.Икрянова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Икряновой Оксаны Аликовны,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