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Крючкова Евгения Александровича на нарушение его конституционных прав частью первой статьи 145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Е.А.Крючкова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Е.А.Крючков, осужденный и отбывающий наказание, оспаривает конституционность части первой статьи 145 «Решения, принимаемые по результатам рассмотрения сообщения о преступлении» УПК Российской Федерации и утверждает, что она позволяет оставить без рассмотрения поступившее сообщение о преступлении путем повторной регистрации измененного сообщения, чем нарушает права, гарантированные статьями 21 (часть 1), 45 и 46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145 УПК Российской Федерации закрепляет перечень решений, принимаемых соответствующими должностными лицами по итогам рассмотрения сообщения о преступлении, и не содержит положений, допускающих изъятия из урегулированного данным Кодексом порядка регистрации и проверки сообщения о преступлении, а потому не может расцениваться в качестве нарушающей права заявителя в указанном в его жалобе аспекте. Поставив вопрос о неконституционности нормы уголовно- процессуального закона, Е.А.Крючков, как и в предыдущей жалобе, по результатам рассмотрения которой принято Определение Конституционного Суда Российской Федерации от 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Крючкова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