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пунктом 2 части четвертой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пункта 2 части четвертой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были частично удовлетворены исковые требования А.Ю.Печорина, заявленные в рамках трудового спора.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отказано. 2 По мнению А.Ю.Печорина, оспариваемое законоположение не соответствует статьям 120 (часть 2) и 123 (часть 3) Конституции Российской Федерации, поскольку допускает возможность принятия судом решения в отсутствие кого-либо из лиц, участвующих в деле и не извещенных надлежащим образом о времени и месте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четвертой статьи 330 ГПК Российской Федерации, устанавливающий, что рассмотрение дела в отсутствие кого-либо из лиц, участвующих в деле и не извещенных надлежащим образом о времени и месте судебного заседания, является безусловным основанием для отмены решения суда первой инстанции в апелляционном порядке, выступает процессуальной гарантией правильного рассмотрения и разрешения судом гражданских дел, призван обеспечить исправление в апелляционном порядке возможной ошибки, допущенной судом нижестоящей инстанции, а потому не может расцениваться в качестве нарушающего конституционные права заявителя, перечисленные в жалобе. Доводы, приведенные А.Ю.Печориным в обоснование его позиции, свидетельствуют о том, что, формально оспаривая конституционность указанного законоположения, он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