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Тарханова Максима Викторовича на нарушение его конституционных прав статьями 107, 110 и 255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М.В.Тарханова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М.В.Тарханов, срок содержания которого под домашним арестом неоднократно продлевался, просит признать противоречащими статьям 2, 18, 19, 21, 22 и 55 (часть 3) Конституции Российской Федерации статьи 107 «Домашний арест», 110 «Отмена или изменение меры пресечения» и 255 «Решение вопроса о мере пресечения» УПК Российской Федерации. По утверждению заявителя, данные нормы нарушают его права, поскольку позволяют суду произвольно и неопределенно долго подвергать лицо изоляции от общества посредством применения меры пресечения в виде домашнего ареста.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Конституционность статей 110 и 255 УПК Российской Федерации уже оспаривалась М.В.Тархановым в аналогичном аспекте в его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Тарханова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