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Бровко Сергея Владимировича на нарушение его конституционных прав пунктом 3 статьи 191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С.В.Бровко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С.В.Бровко оспаривает конституционность пункта 3 статьи 191 Закона Российской Федерации от 26 июня 1992 года № 3132-I «О статусе судей в Российской Федерации», согласно которому единовременная социальная выплата для приобретения или строительства жилых помещений или жилое помещение в собственность предоставляются судье, замещающему должность судьи не менее 10 календарных лет, один раз за весь период пребывания в должности судьи. По мнению заявителя, обжалуемое законоположение противоречит статьям 19 (часть 1), 40 и 751 Конституции Российской Федерации, поскольку 2 лишает гарантий независимости судей, препятствует предоставлению упомянутых в нем жилищных гарантий судьям, ранее обеспеченным жильем в иной форме – на основании договора социального найма жилого помещения, не участвовавших в его приватизации и обратившихся с заявлением о постановке на жилищный учет после истечения ограничительного срока, установленного статьей 53 Жилищного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приложенных к жалобе судебных постановлений следует, что с момента принятия по делу заявителя судебного решения, которым исчерпываются внутригосударственные средства судебной защиты, и до его обращения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Бровко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