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Скубака Владимира Петровича на нарушение его конституционных прав статьями 195, 198 и 209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В.П.Скубака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В.П.Скубак оспаривает конституционность статей 195 «Законность и обоснованность решения суда», 198 «Содержание решения суда» и 209 «Вступление в законную силу решений суда»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удовлетворены исковые требования гражданки С. к В.П.Скубаку о разделе имущества супругов. Определением судьи Верховного Суда Российской Федерации, с которым согласился заместитель Председателя этого суда, 2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 связи с этим В.П.Скубак просит проверить конституционность оспариваемых норм, поскольку, по его мнению, их формальное применение судом привело к нарушению его конституционного права на судебную защиту.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Скубака Владимира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