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558-О/2025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 на нарушение его конституционных прав статьями 118 (части 1 и 2) и 120 Конституции Российской Федерации, а также статьей 296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П.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 осужденный и отбывающий наказание, просит проверить конституционность статей 118 (части 1 и 2) и 120 Конституции Российской Федерации, а также статьи 296 «Постановление приговора именем Российской Федерации» УПК Российской Федерации. Как утверждает заявитель, оспариваемые им нормы нарушают его конституционные права, поскольку они позволили огласить приговор суда, содержащий указание на наличие у него ВИЧ-инфекции и хронического вирусного гепатита С, что является охраняемой законом тайной.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Конституционный Суд Российской Федерации неоднократно подчеркивал, что он не наделен полномочием проверять соответствие одних норм Конституции Российской Федерации другим ее нормам (определения от 25 июня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