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Обуховой Ольги Геннадьевны на нарушение ее конституционных прав Уголовно-процессуальным кодексом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О.Г.Обуховой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О.Г.Обухова, неоднократно обращавшаяся в правоохранительные органы с заявлениями и ходатайствами, утверждает, что Уголовно-процессуальный кодекс Российской Федерации, в том числе часть первая его статьи 144 «Порядок рассмотрения сообщения о преступлении», нарушает права, гарантированные ей статьями 15 (часть 1), 18 и 55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Как следует из жалобы, О.Г.Обухова,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своей позиции о неконституционности оспариваемых законоположений, в том числе регламентирующих порядок рассмотрения сообщения о преступлении. Заявительница утверждает о нарушении установленного Уголовно- процессуальным кодексом Российской Федерации порядка рассмотрения ее сообщения о преступлении, настаивая на том, что в ее обращении содержались достаточные данные, подтверждающие наличие признаков преступления. Тем самым, по существу, О.Г.Обухова предлагает Конституционному Суду Российской Федерации проверить действия и решения правоприменителей, связанные с рассмотрением ее обращений, что требует исследования фактических обстоятельств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Обуховой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