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1497-О/2025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Марченко Романа Васильевича на нарушение его конституционных прав статьями 64 и 104, а также пунктом 2 части 1 статьи 301 Кодекса административного судопроизводства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по требованию гражданина Р.В.Марченко вопрос о возможности принятия его жалобы к рассмотрению в заседании Конституционного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Р.В.Марченко оспаривает конституционность статей 64 «Основания освобождения от доказывания» и 104 «Льготы по уплате государственной пошлины, основания и порядок освобождения от уплаты государственной пошлины, уменьшения ее размера, предоставления отсрочки или рассрочки уплаты государственной пошлины», а также пункта 2 части 1 статьи 301 «Возвращение апелляционных жалобы, представления» КАС Российской Федерации. Как следует из представленных материалов, рядом определений судов общей юрисдикции оставлены без движения и впоследствии возращены поданные Р.В.Марченко административные исковые заявления и заявления о 2 пересмотре вступивших в законную силу решений судов по новым и вновь открывшимся обстоятельствам в связи с тем, что, в частности, к ним не приложены документы, подтверждающие уплату государственной пошлины. Отдельные частные жалобы, поданные заявителем на эти определения, были возвращены по тем же основаниям; при подаче остальных частных жалоб он был освобожден от уплаты государственной пошлины. По мнению Р.В.Марченко, полагающего, что судебные акты по его заявлениям были приняты с существенными нарушениями норм процессуального права, оспариваемые законоположения не соответствуют Конституции Российской Федерации, в частности ее статье 35.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Формально оспаривая конституционность ряда положений Кодекса административного судопроизводства Российской Федерации, заявитель фактически выражает несогласие с принятыми по его заявлениям судебными актами. Между тем проверка правоприменительных актов, в том числе в части наличия оснований для оставления без движения и возвращения конкретных административных исковых заявлений, не входит в компетенцию Конституционного Суда Российской Федерации, определенную в статье 125 Конституции Российской Федерации и статье 3 Федерального конституционного закона «О Конституционном Суде Российской Федерации». Исходя из изложенного и руководствуясь частью второй статьи 40,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Марченко Романа Васильевича, поскольку она не отвечает требованиям Федерального 3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