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Украины Орлова Виктора на нарушение его конституционных прав статьями 101 и 108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Украины В.Орлова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Украины В.Орлов, содержащийся под стражей, оспаривает конституционность статей 101 «Постановление и определение об избрании меры пресечения» и 108 «Заключение под стражу» УПК Российской Федерации, на основе которых, как он полагает, ему неправомерно избрана мера пресечения в виде заключения под стражу.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Как следует из жалобы, В.Орлов не приводит правового обоснования неконституционности оспариваемых законоположений, а утверждает, что судами при избрании ему меры пресечения и проверке этого решения допущены существенные нарушения уголовно-процессуального закона, проигнорированы разъяснения Пленума Верховного Суда Российской Федерации, тем самым фактически предлагает Конституционному Суду Российской Федерации дать оценку соответствующим судебным актам. Однако такая проверка, предполагающая исследование фактических обстоятельств конкретного дела,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Украины Орлова Виктора,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