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Числова Геннадия Васильевича на нарушение его конституционных прав статьей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Г.В.Числова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Г.В.Числов оспаривает конституционность статьи 10 «Пределы осуществления гражданских прав» ГК Российской Федерации. Как следует из представленных материалов, заявитель обращался в суд с иском о возмещении вреда, обусловленного невыполнением положения об увеличении пенсий гражданам, уволенным с военной службы, содержащегося в Указе Президента Российской Федерации от 7 мая 2012 года № 604 «О дальнейшем совершенствовании военной службы в Российской Федерации». В удовлетворении этих требований было отказано. По мнению Г.В.Числова, толкование оспариваемой нормы, примененное в его деле судами, позволяет Правительству Российской 2 Федерации не исполнять подпункт «г» пункта 1 Указа Президента Российской Федерации от 7 мая 2012 года № 604, что не соответствует статьям 15 (части 1 и 2), 90 (части 2 и 3) и 115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Г.В.Числовым вместе с жалобой судебными актами не подтверждается применение судами в деле с его участием статьи 10 ГК Российской Федерации. Разрешение же иных вопросов, поставленных в жалобе Г.В.Числова,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Числова Геннадия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