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«Синица» на нарушение его конституционных прав статьей 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«Синица»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«Синица» (далее также – ООО «Синица»), иск которого о возмещении убытков, причиненных незаконными действиями судебного пристава-исполнителя, удовлетворен частично, оспаривает конституционность статьи 15 «Возмещение убытков» ГК Российской Федерации. По мнению заявителя, оспариваемое положение не соответствует статьям 15 (часть 1), 19 (части 1 и 2), 35 (части 1 и 3), 45 (часть 1), 46 (часть 1), 53 и 55 Конституции Российской Федерации, поскольку оно по 2 смыслу, придаваемому ему правоприменительной практикой, позволяет судам взыскивать в пользу потерпевшего убытки в размере, определяемом по состоянию на дату их причинения, независимо от даты обращения потерпевшего в суд и от длительности рассмотрения дела в суде.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с жалобой ООО «Синица» представлены только акты арбитражных судов первой и апелляционной инстанций, а также арбитражного суда округа, не подтверждающие исчерпания заявителем внутригосударственных средств судебной защиты.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«Синица»,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