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1613-О/2025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Миловидова Дмитрия Александровича на нарушение его конституционных прав статьями 15 и 1064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Д.А.Миловидова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Д.А.Миловидов, с которого взыскан материальный ущерб, причиненный в результате столкновения гидроцикла, находившегося под его управлением, с причалом, оспаривает конституционность статей 15 «Возмещение убытков» и 1064 «Общие основания ответственности за причинение вреда» ГК Российской Федерации. По мнению заявителя, оспариваемые законоположения противоречат статьям 1, 2, 4 (часть 2), 15 (части 1 и 2), 17–19, 45 (часть 1), 46 (часть 1), 49, 50 (часть 2), 54 (часть 2), 55 (часть 3), 751, 120 (часть 1) и 123 (часть 3) Конституции Российской Федерации.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Статьи 15 и 1064 ГК Российской Федерации, направленные на защиту и обеспечение восстановления нарушенных прав потерпевших путем полного возмещения причиненного им вреда, служат цели реализации закрепленного в Конституции Российской Федерации принципа охраны права частной собственности законом (определения Конституционного Суда Российской Федерации от 19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Миловидова Дмитрия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