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Мухаметдинова Михаила Рамилевича на нарушение его конституционных прав статьей 220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М.Р.Мухаметдинова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М.Р.Мухаметдинов оспаривает конституционность статьи 220 «Основания прекращения производства по делу» ГПК Российской Федерации. Как следует из представленных материалов, определением мирового судьи, оставленным без изменения судом апелляционной инстанции и кассационным судом общей юрисдикции, в связи с вступлением в законную силу решения суда общей юрисдикции прекращено производство по делу, в рамках которого рассматривалось исковое требование М.Р.Мухаметдинова о возмещении убытков. 2 По мнению заявителя, оспариваемое законоположение не соответствует Конституции Российской Федерации, в том числе ее статье 47 (часть 1), в той мере, в какой оно допускает лишение права истца на рассмотрение его дела мировым судьей.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Мухаметдинова Михаила Рамилевича, поскольку она не отвечает 3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