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«Омега Принт» на нарушение его конституционных прав пунктами 1 и 2 статьи 15 и пунктом 2 статьи 393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«Омега Принт»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«Омега Принт» (далее также – общество) просит признать противоречащими Конституции Российской Федерации, в том числе ее статьям 8 (часть 1), 19 (части 1 и 2), 35 (части 1 и 3), 46 (часть 1) и 55 (часть 3), пункты 1 и 2 статьи 15 «Возмещение убытков» и пункт 2 статьи 393 «Обязанность должника возместить убытки» ГК Российской Федерации в истолковании суда по делу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Пропуск предусмотренного названной нормой Федерального конституционного закона «О Конституционном Суде Российской Федерации» годичного срока выступает в качестве самостоятельного обстоятельства, исключающего допустимость обращения в Конституционный Суд Российской Федерации. Между тем с момента принятия последнего из представленных обществом судебных постановлений до подачи им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«Омега Принт»,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