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475-О/2025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Полуяктовой Дарьи Игоревны на нарушение ее конституционных прав пунктами 1 и 3 статьи 234 Гражданского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Д.И.Полуяктовой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Д.И.Полуяктова просит признать противоречащими статьям 2, 8, 19, 35 (части 1 и 2), 40 (часть 1), 45 и 46 Конституции Российской Федерации пункты 1 и 3 статьи 234 «Приобретательная давность» ГК Российской Федерации, поскольку в силу своей неопределенности они препятствуют признанию права собственности на жилое помещение.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2 В соответствии с пунктом 2 статьи 97 Федерального конституционного закона «О Конституционном Суде Российской Федерации» жалоба на нарушение нормативным актом конституционных прав и свобод допустима, если она подана в срок не позднее одного года после принятия судебного решения, которым исчерпываются внутригосударственные средства судебной защиты. Пропуск предусмотренного названной нормой Федерального конституционного закона «О Конституционном Суде Российской Федерации» годичного срока выступает в качестве самостоятельного обстоятельства, исключающего допустимость обращения 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Полуяктовой Дарьи Игоревны,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