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1621-О/2025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Крамаренко Ираиды Георгиевны на нарушение ее конституционных прав частью 92 статьи 156 и частью 1 статьи 157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И.Г.Крамаренко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И.Г.Крамаренко, с которой взыскана задолженность по договору энергоснабжения, оспаривает конституционность части 92 статьи 156 «Размер платы за жилое помещение» и части 1 статьи 157 «Размер платы за коммунальные услуги» Жилищного кодекса Российской Федерации. По мнению заявительницы, оспариваемые нормы противоречат Конституции Российской Федерации, ее статьям 17 (часть 3) и 19 (части 1 и 2), поскольку они создают неравенство между потребителями коммунальных услуг в зависимости от способа управления многоквартирным домом и возлагают на граждан, исполнивших обязанность по установке приборов учета, расходы на оплату коммунальных ресурсов, потребленных сверх 2 норматива в не оборудованных приборами учета помещениях, в составе платы за коммунальные услуги, предоставленные на общедомовые нужды.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Крамаренко Ираиды Георгиевны,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