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Ласкина Кирилла Геннадьевича на нарушение его конституционных прав частью 2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К.Г.Ласкина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К.Г.Ласкин оспаривает конституционность части 2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оспариваемое законоположение противоречит статье 126 Конституции Российской Федерации, поскольку оно в системе 2 действующего правового регулирования, по смыслу, придаваемому ему правоприменительной практикой, предоставляет судье Верховного Суда Российской Федерации право произвольно принимать решение об отказе в передаче кассационной жалобы для рассмотрения в судебном заседании судебной коллегии Верховного Суда Российской Федерации при наличии противоречащих друг другу решений нижестоящего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Ласкина Кирилла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