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Батуры Андрея Николаевича на нарушение его конституционных прав статьей 3909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А.Н.Батуры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А.Н.Батура, которому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гражданским делам этого суда, оспаривает конституционность статьи 3909 «Определение судьи об отказе в передаче кассационных жалобы, представления для рассмотрения в судебном заседании суда кассационной инстанции» ГПК Российской Федерации. 2 По мнению заявителя, оспариваемое законоположение, позволяющее судье Верховного Суда Российской Федерации не отражать в определении об отказе в передаче кассационной жалобы для рассмотрения в судебном заседании суда кассационной инстанции доводы, приводимые лицом, подающим эту жалобу, не соответствует статьям 1, 18 (часть 1), 19 и 46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3909 ГПК Российской Федерации уже оспаривалась А.Н.Батурой в аналогичном аспекте в его предшествующей жалобе, по которой Конституционным Судом Российской Федерации вынесено Определение от 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Батуры Андрея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