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Тихоновой Светланы Геннадьевны на нарушение ее конституционных прав федеральными конституционными законами, федеральными законами, а также действиями и решениями судей судов общей юрисдикции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С.Г.Тихоновой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С.Г.Тихонова утверждает, что применением норм законодательства, действиями (бездействием) и решениями судей судов общей юрисдикции нарушены права, гарантированные ей статьями 17, 45, 46, 48, 123 и 126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Вопреки требованиям пунктов 6 и 8 части второй статьи 37 Федерального конституционного закона «О Конституционном Суде Российской Федерации», С.Г.Тихоновой в жалобе не конкретизированы нормативные положения, конституционность которых она оспаривает, а также не приведено правовое обоснование их предполагаемой неконституционности. Как следует из жалобы, заявительница прямо ставит перед Конституционным Судом Российской Федерации вопрос о проверке решений судов общей юрисдикции, принятых по уголовному делу, настаивает на признании их не соответствующими законодательству, что не относится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Тихоновой Светланы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