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1314-О/2025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Малинина Алексея Николаевича на нарушение его конституционных прав пунктом 4 части первой статьи 23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А.Н.Малинина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А.Н.Малинин оспаривает конституционность пункта 4 части первой статьи 23 «Гражданские дела, подсудные мировому судье» ГПК Российской Федерации. Как следует из представленных материалов, определением мирового судьи, оставленным без изменения судами апелляционной и кассационной инстанций, гражданское дело по иску А.Н.Малинина о взыскании процентов за неправомерное удержание денежных средств и компенсации морального вреда передано по подсудности в районный суд. 2 По мнению заявителя, оспариваемое законоположение по смыслу, придаваемому ему правоприменительной практикой, а также исходя из его места в системе правовых норм, противоречит Конституции Российской Федерации, ее статье 47 (часть 1), поскольку допускает возможность произвольного определения судом подсудности имущественного спора, в рамках которого также заявляется требование о компенсации морального вреда.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Малинина Алексея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