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Котова Сергея Леонидовича на нарушение его конституционных прав статьей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С.Л.Котова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С.Л.Котов оспаривает конституционность статьи 252 «Раздел имущества, находящегося в долевой собственности, и выдел из него доли» ГК Российской Федерации. По мнению заявителя, оспариваемое законоположение не соответствует Конституции Российской Федерации ввиду неопределенности содержащихся в нем понятий «раздел имущества» и «выдел доли».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все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с момента принятия последнего из представленных С.Л.Котовым судебных постановлений до подачи им данной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Котова Сергея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