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Туйбовой Тамары Павловны на нарушение ее конституционных прав частью 3 статьи 60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Т.П.Туйбовой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Т.П.Туйбова оспаривает конституционность части 3 статьи 60 «Договор социального найма жилого помещения» Жилищного кодекса Российской Федерации. Как следует из представленных материалов, решением суда общей юрисдикции, с которым согласились суды вышестоящих инстанций, удовлетворен иск индивидуального предпринимателя к Т.П.Туйбовой о переселении из одной комнаты в здании гостиницы-общежития в другую, заявительнице отказано в удовлетворении встречного иска о признании права проживания по месту регистрации. 2 По мнению заявительницы, оспариваемая норма по смыслу, придаваемому ей правоприменительной практикой, противоречит статьям 15, 17 и 40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жалоба на нарушение конституционных прав и свобод нормативными актами (указанными в пунктах «а», «б» части 2 той же статьи Конституции Российской Федерации) признается допустимой, если имеются признаки нарушения прав и свобод заявителя в результате применения оспариваемого нормативного акта в его конкретном деле. Между тем представленными судебными постановлениями не подтверждается применение в деле с участием Т.П.Туйбовой части 3 статьи 60 Жилищного кодекса Российской Федерации, а потому ее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Туйбовой Тамары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