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Мещеринова Виктора Павловича на нарушение его конституционных прав статьей 16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В.П.Мещеринова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В.П.Мещеринов, которому определениями суда, отраженными в протоколах судебных заседаний, было отказано в удовлетворении ходатайств об отводе судьи, оспаривает конституционность статьи 16 «Основания для отвода судьи» ГПК Российской Федерации. По мнению заявителя, оспариваемое законоположение противоречит Конституции Российской Федерации, ее статьям 1, 46 (часть 1), 120 (часть 1) и 123 (часть 3), поскольку не обязывает суд выносить отдельное мотивированное определение по результатам рассмотрения ходатайства об отводе судьи и не предусматривает возможность отвода судьи на том 2 основании, что он не руководствуется Конституцией Российской Федерации, а также разъяснениями, данными Конституционным Судом Российской Федерации и Верховным Судом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31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Мещеринова Виктора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