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Сысак Елены Васильевны на нарушение ее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Е.В.Сысак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Е.В.Сысак оспаривает конституционность следующих нормативных положений: части третьей статьи 263 «Порядок рассмотрения и разрешения дел, рассматриваемых судом в порядке особого производства», части первой статьи 264 «Дела об установлении фактов, имеющих юридическое значение» и статьи 267 «Содержание заявления об установлении факта, имеющего юридическое значение» ГПК Российской Федерации; части 1 статьи 31 «Права и обязанности граждан, проживающих совместно с собственником в принадлежащем ему жилом помещении» Жилищного кодекса Российской Федерации; 2 пункта 9 части 1 и части 2 статьи 4, статьи 5 и части 1 статьи 6 Закона Республики Крым от 15 января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Сысак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