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890793-О/2026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Демурчева Рафаэла Николаевича на нарушение его конституционных прав пунктом 1 статьи 100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Р.Н.Демурчева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Р.Н.Демурчев оспаривает конституционность пункта 1 статьи 100 «Установление размера требований кредиторов» Федерального закона от 26 октября 2002 года № 127-ФЗ «О несостоятельности (банкротстве)». Как следует из представленных материалов, поданное в рамках дела о банкротстве гражданина В. заявление индивидуального предпринимателя Р.Н.Демурчева о включении требований в реестр требований кредиторов должника было оставлено арбитражным судом без движения в том числе ввиду несоблюдения формы его подачи: заявление подано на бумажном носителе в отсутствие доказательств объективной невозможности подать его 2 в электронном виде. В связи с неустранением данного недостатка в установленный срок заявление Р.Н.Демурчева возвращено определением арбитражного суда, с чем согласились суды вышестоящих инстанций. По мнению заявителя, оспариваемая норма противоречит статьям 18, 19, 45 и 46 (часть 1) Конституции Российской Федерации, поскольку ограничивает конституционное право на судебную защиту лиц, не зарегистрированных на государственных информационных ресурсах, размещенных в сети «Интернет».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Демурчева Рафаэла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