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Куклева Андрея Леонидовича на нарушение его конституционных прав статьями 99 и 149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А.Л.Куклева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А.Л.Куклев оспаривает конституционность статей 99 «Сверхурочная работа» и 149 «Оплата труда в других случаях выполнения работ в условиях, отклоняющихся от нормальных» Трудового кодекса Российской Федерации. По мнению заявителя, оспариваемые нормы не соответствуют статьям 17 (часть 3), 37 и 75 (часть 5) Конституции Российской Федерации, поскольку позволяют работодателю привлекать работника к сверхурочной работе без издания соответствующего приказа и не указывать сведения о выполнении такой работы в табеле учета рабочего времени. Части первая и седьмая статьи 99 и статья 149 Трудового кодекса Российской Федерации были применены судами общей юрисдикции в деле 2 А.Л.Куклева, в котором в том числе решался вопрос о восстановлении его на работе и взыскании оплаты за сверхурочную работу.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Куклева Андрея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