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890762-О/2026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Луценко Ольги Ильиничны на нарушение ее конституционных прав пунктом 11 статьи 2018-1, пунктом 81 статьи 20111, пунктами 4 и 5 статьи 20112- 1, абзацем пятым пункта 1 статьи 20115-1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О.И.Луценко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застройщика и оставленным без изменения постановлениями судов апелляционной и кассационной инстанций, многоквартирный дом (блок-секция 4) признан законченным строительством, удовлетворено заявление конкурсного управляющего о передаче недвижимого имущества во исполнение обязательства должника перед участниками строительства данного многоквартирного дома, определено считать требования участников строительства погашенными. При этом суды отклонили доводы гражданки О.И.Луценко о том, что ее права как участника 2 строительства в блок-секции 5 нарушаются в результате признания многоквартирного дома (блок-секции 4) законченным строительством и признания права собственности за кредиторами – участниками строительства, включенными в реестр требований участников строительства о передаче жилых помещений в блок-секции 4. О.И.Луценко оспаривает конституционность пункта 11 статьи 2018-1 «Финансирование мероприятий по завершению строительства», пункта 81 статьи 20111 «Погашение требований участников строительства путем передачи им жилых помещений, машино-мест и нежилых помещений», пунктов 4 и 5 статьи 20112-1 «Порядок удовлетворения требований участников строительства», абзаца пятого пункта 1 статьи 20115-1 «Особенности урегулирования обязательств застройщика перед участниками строительства»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19 (часть 1) и 40 (часть 1) Конституции Российской Федерации в той мере, в какой они в системе действующего правового регулирования позволяют удовлетворять требования одной группы кредиторов при ухудшении положения другой группы, равной по правовому статусу.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пункт 11 статьи 2018-1, пункт 81 статьи 20111, пункты 4 и 5 статьи 20112-1, абзац пятый пункта 1 статьи 20115-1 Федерального закона «О несостоятельности (банкротстве)», обеспечивающие надлежащий порядок финансирования мероприятий по завершению строительства, погашения требований участников строительства путем передачи им жилых помещений, машино-мест и нежилых помещений, удовлетворения требований участников строительства, а также устанавливающие особенности урегулирования обязательств застройщика перед участниками строительства, не предполагают различный порядок удовлетворения требований кредиторов, 3 относящихся к одной категории, и не могут расцениваться как нарушающие конституционные права заявительницы в аспекте, указанном в жалобе. Установление же и оценка фактических обстоятельств конкретного дела, а также проверка правильности применения судами норм права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Луценко Ольги Ильиничны,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