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890852-О/2026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Андрющенко Владислава Александровича на нарушение его конституционных прав статьей 384 Гражданского кодекса Российской Федерации и пунктом 151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В.А.Андрющенко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В.А.Андрющенко оспаривает конституционность статьи 384 «Объем прав кредитора, переходящих к другому лицу» ГК Российской Федерации и пункта 151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Как следует из представленных материалов, в результате дорожно- транспортного происшествия автомобилю, принадлежащему гражданке У., 2 причинены механические повреждения. У. уступила право требования страхового возмещения обществу с ограниченной ответственностью, получившему денежную выплату с учетом износа заменяемых деталей. Впоследствии по договору между обществом и В.А.Андрющенко указанное право требования было уступлено последнему. Решением финансового уполномоченного удовлетворено требование В.А.Андрющенко о взыскании со страховщика доплаты страхового возмещения без учета износа. Апелляционным определением суда общей юрисдикции, с которым согласились суды вышестоящих инстанций, данное решение отменено. Суды указали, что В.А.Андрющенко, будучи вторым цессионарием, не является правообладателем поврежденного транспортного средства и не имеет заинтересованности в получении страхового возмещения в натуре, при этом доказательств, подтверждающих факт причинения ему убытков, не представлено. По мнению заявителя, оспариваемые законоположения противоречат Конституции Российской Федерации, в частности ее статьям 15 (часть 1), 19 (часть 1) и 55 (часть 3), поскольку не позволяют цессионарию получить страховое возмещение в том же объеме, какой полагался бы первоначальному кредитору.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384 ГК Российской Федерации с учетом конституционно значимого принципа свободы договора обеспечивает определенность правового положения участников обязательственных правоотношений при переходе прав к новому кредитору, а пункт 151 статьи 12 Федерального закона «Об обязательном страховании гражданской ответственности владельцев транспортных средств» входит в комплекс правил страхового возмещения, условия которого предназначены обеспечивать баланс интересов участников страхового правоотношения, и действует в системном единстве с конституционными предписаниями. Таким образом, данные 3 законоположения сами по себе не могут рассматриваться в качестве нарушающих конституционные права В.А.Андрющенко. Проверка же правильности применения оспариваемых законоположений в конкретном деле, на что, по существу, направлены доводы В.А.Андрющенко,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Андрющенко Владислава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