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894388-П/2026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Николая Александровича на нарушение его конституционных прав частью первой статьи 4012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Н.А.Морозова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гражданину Н.А.Морозову возвращена без рассмотрения его кассационная жалоба на приговор суда от 15 июня 2023 года, вступивший в законную силу 11 июля 2024 года, которым у осужденного Т. конфискован автомобиль, поскольку, как указал суд, заявитель не являлся участником уголовного судопроизводства и обжалованным приговором его права и законные интересы не затрагиваются. Как следует из представленных материалов, в ходе уголовного судопроизводства постановлением суда от 4 декабря 2017 года на автомобиль Т. наложен арест. Между тем в рамках исполнительного 2 производства по взысканию с Т. задолженности по налогу, пени и штрафа судебным приставом-исполнителем на этот автомобиль 14 июня 2023 года наложен арест, а 5 декабря того же года данное имущество передано на реализацию на торгах, по результатам которых 22 апреля 2024 года оно приобретено Н.А.Морозовым. В связи с этим заявитель утверждает о несоответствии части первой статьи 4012 «Право на обращение в суд кассационной инстанции» УПК Российской Федерации статьям 18, 19, 35 и 46 Конституции Российской Федерации, поскольку она ограничивает право собственника имущества на обжалование приговора в части его конфискации.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Николая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