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894386-П/2026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В.В.Полянского, на постановленный в его отношении приговор и последующие судебные решения. В.В.Полянский утверждает о несоответствии статьям 2, 15 (части 1 и 2), 17 (части 1 и 2), 18, 19 (части 1 и 2), 45, 46 (часть 1), 49, 50 (часть 2), 118 (часть 3), 123 (часть 3) и 129 (часть 1) Конституции Российской Федерации следующих положений Уголовно-процессуального кодекса Российской Федерации: 2 статей 81 «Вещественные доказательства» и 82 «Хранение вещественных доказательств», как допускающих произвольное хранение вещественных доказательств, не обеспечивающее их сохранность; статей 74 «Доказательства», 81, 283 «Производство судебной экспертизы» и 284 «Осмотр вещественных доказательств», как позволяющих суду необоснованно отказывать в удовлетворении ходатайств стороны защиты о назначении криминалистических судебных экспертиз вещественных доказательств; статьи 82, части первой статьи 217 «Ознакомление обвиняемого и его защитника с материалами уголовного дела», статей 240 «Непосредственность и устность» и 38913 «Порядок рассмотрения уголовного дела судом апелляционной инстанции», как позволяющих суду в нарушение принципов уголовного судопроизводства отказывать в удовлетворении ходатайств об исследовании вещественных доказательств обвинения в судебном заседании, ссылаясь при этом на передачу таких доказательств на хранение потерпевшим либо на их утрату (повреждение) или хранение в различных подразделениях органов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В.В.Полянский выражает несогласие с вынесенными по его уголовному делу судебными решениями и связывает нарушение своих прав не с дефектом оспариваемых норм, а с допущенным, по его мнению, ненадлежащим применением их предписаний при производстве по его уголовному делу, указывая, в частности, на ненадлежащее доказывание обстоятельств инкриминированных ему преступлений, неполноту предварительного следствия, нарушение его права на защиту, нарушение принципов уголовного судопроизводства, неправильную оценку судом доказательств по делу, обоснование обвинительного приговора не исследованными в судебном заседании доказательствами и др. Тем самым заявитель, по существу, предлагает 3 Конституционному Суду Российской Федерации не оценить содержание оспариваемых законоположений, а проверить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