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897733-П/2026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Григорова Александра Александровича на нарушение его конституционных прав положениями статьи 392 Гражданского процессуального кодекса Российской Федерации, а также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А.А.Григорова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А.А.Григоров оспаривает конституционность следующих положений: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2 службы в связи с совершением проступка, порочащего честь сотрудника органов внутренних дел; статьи 392 ГПК Российской Федерации, относящей к вновь открывшимся обстоятельствам существенные для дела обстоятельства, которые не были и не могли быть известны заявителю (пункт 1 части третьей), а к новым обстоятельствам –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 июля 1994 года № 1-ФКЗ «О Конституционном Суде Российской Федерации», в связи с обращением иного лица независимо от обращения заявителя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Закрепление в частях третьей и четвертой статьи 392 ГПК Российской Федерации оснований для пересмотра по вновь открывшимся или новым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данной статьи,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постановления; основанием для пересмотра судебного постановления по новым обстоятельствам является возникновение после вступления его в законную силу обстоятельств, имеющих существенное значение для дела. При этом, как неоднократно отмечал Конституционный Суд Российской Федерации, пункт 3 части четвертой статьи 392 ГПК Российской Федерации – рассматриваемый с учетом предписаний части третьей статьи 79 Федерального конституционного закона «О Конституционном Суде Российской Федерации», устанавливающих случаи, когда решения судов и иных органов, основанные на актах или их отдельных положениях, признанных постановлением Конституционного Суда Российской Федерации неконституционными либо примененных в истолковании, расходящемся с данным Конституционным Судом Российской Федерации в постановлении истолкованием, должны быть пересмотрены (а до пересмотра не подлежат исполнению) в случае, если в постановлении Конституционного Суда Российской Федерации, принятом по жалобе на нарушение конституционных прав и свобод, прямо указано на такой пересмотр в отношении иных лиц помимо заявителя или лица, в интересах которого подана жалоба (пункт 7), – выступает дополнительной процессуальной гарантией защиты прав и охраняемых законом интересов участников процессуальных отношений и 6 обеспечивает реализацию юридической силы решений Конституционного Суда Российской Федерации (определения от 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