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897741-П/2026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статьями 1.4, 2.5 и 5.59, частью 5 статьи 28.1, частью 4 статьи 30.1 и статьей 30.4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статей 1.4 «Принцип равенства перед законом», 2.5 «Административная ответственность военнослужащих, граждан, призванных на военные сборы, и лиц, имеющих специальные звания» и 5.59 «Нарушение порядка рассмотрения обращений граждан», части 5 статьи 28.1 «Возбуждение дела об административном правонарушении», части 4 статьи 30.1 «Право на обжалование постановления по делу об административном правонарушении» и статьи 30.4 «Подготовка к рассмотрению жалобы на постановление по делу об административном правонарушении» КоАП Российской Федерации. 2 Из представленных материалов следует, что определением суда общей юрисдикции, оставленным без изменения вышестоящими судами, возвращена без рассмотрения поданная А.Н.Малининым в порядке главы 30 КоАП Российской Федерации жалоба на ответ старшего помощника областного прокурора на обращение заявителя, в котором он требовал привлечения работников прокуратуры к административной ответственности, предусмотренной статьей 5.59 КоАП Российской Федерации. При этом А.Н.Малинину разъяснено, что жалоба на действия (бездействие) органов государственной власти, иных государственных органов, органов военного управления, органов местного самоуправления, должностных лиц, государственных и муниципальных служащих подлежит разрешению в порядке, установленном Кодексом административного судопроизводства Российской Федерации. По мнению А.Н.Малинина, оспариваемые законоположения не соответствуют Конституции Российской Федерации, в частности ее статье 19 (части 1 и 2), поскольку освобождают работников прокуратуры от административной ответственности за нарушение законодательства об обращениях граждан, а также допускают возможность принятия решения об отказе в возбуждении дела об административном правонарушении в форме, которая не предусмотрена законом, препятствуя обжалованию такого решения в порядке главы 30 КоАП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