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904913-П/2026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«Лизинговая Компания Независимого Строительного Банка»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«Лизинговая Компания Независимого Строительного Банка»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«Лизинговая Компания Независимого Строительного Банка» (далее также – ООО «Ликонс») оспаривает конституционность следующих норм: статей 450, 4501, 451 и 453 ГК Российской Федерации; статей 268–271, 286–288, 289, 2916, 2918 и 29111 АПК Российской Федерации; пункта 3 статьи 11, пункта 2 статьи 13, пункта 6 статьи 15 и пунктов 4– 6 статьи 17 Федерального закона от 29 октября 1998 года № 164-ФЗ «О финансовой аренде (лизинге)». 2 Как следует из представленных материалов, решением арбитражного суда (с учетом изменений, внесенных постановлением суда апелляционной инстанции, принятым при новом рассмотрении дела) определено сальдо взаимных предоставлений по расторгнутому договору лизинга; с заявителя в пользу лизингополучателя взыскано неосновательное обогащение. С этим согласились суды кассационной инстанции. По мнению ООО «Ликонс», оспариваемые нормы: допускают определение сальдо встречных обязательств по расторгнутому договору лизинга без учета суммы, добровольно погашенной лизингодателем в процессе рассмотрения дела, и позволяют судам не приводить доводы сторон о добровольном погашении задолженности, произведенном до вынесения судебного акта; дают возможность судье Верховного Суда Российской Федерации немотивированно отказывать в передаче кассационной жалобы для рассмотрения в судебном заседании суда кассационной инстанции, а также предоставляют заместителю Председателя этого суда право по результатам рассмотрения кассационной жалобы принимать решение без вынесения соответствующего судебного акта (определения) путем направления письма (сообщения) о согласии с таким отказом судьи Верховного Суда Российской Федерации без его опубликования для всеобщего сведения на официальном сайте суда в сети Интернет. В связи с этим заявитель считает, что приведенные нормы противоречат Конституции Российской Федерации, в том числе ее статьям 8, 15 (части 1 и 2), 19 (части 1 и 2), 34, 35, 45, 46, 47 (часть 1), 52, 751, 118, 120, 123 и 125 (часть 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деле с участием 3 заявителя статей 450 и 451 ГК Российской Федерации, пункта 3 статьи 11, пункта 6 статьи 15 и пунктов 4–6 статьи 17 Федерального закона «О финансовой аренде (лизинге)». Статьи 4501 и 453 ГК Российской Федерации, содержащие в том числе основания и порядок одностороннего отказа от исполнения договора, последствия изменения и расторжения договора, а также пункт 2 статьи 13 Федерального закона «О финансовой аренде (лизинге)», предусматривающий в определенных случаях право лизингодателя потребовать досрочного расторжения договора лизинга и возврата в разумный срок лизингополучателем имущества, не регулируют вопросов, связанных с последствиями добровольной уплаты суммы неосновательного обогащения до вынесения судебного акта по требованию о взыскании этой суммы. Статьи 268–271, 286–288 и 289 АПК Российской Федерации, регулирующие отдельные вопросы производства в арбитражных судах апелляционной и кассационной инстанций, напрямую обязывают данные суды указывать в тексте судебного акта основания, по которым заявлены требования о проверке законности (обоснованности) решения, изложенные в отзыве на жалобу доводы, а также приводить мотивы, по которым они пришли к своим выводам (пункты 9, 10 и 13 части 2 статьи 271, пункты 9, 10 и 13 части 2 статьи 289). Тем самым данные нормы закрепляют одну из фундаментальных процессуальных гарантий реализации права на судебную защиту – мотивированность судебного акта, а также создают необходимые условия для исправления возможных судебных ошибок и принятия судом законного и обоснованного решения. В свою очередь, требования к содержанию определения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установлены статьей 2918 названного Кодекса, пункт 5 которой прямо обязывает судью указать мотивы отказа в передаче кассационных жалобы, представления для рассмотрения в судебном заседании суда кассационной инстанции. 4 Предусмотренное же частью 8 статьи 2916 АПК Российской Федерации правомочие Председателя Верховного Суда Российской Федерации, его заместителя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служит дополнительной гарантией обеспечения правосудности судебных актов арбитражных судов, является способом контроля за правильностью соответствующего определения судьи Верховного Суда Российской Федерации. При этом названная норма не допускает произвольного отказа в удовлетворении кассационных жалоб, представлений, поскольку во взаимосвязи с другими предписаниями главы 35 этого же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акта во всяком случае передать их для рассмотрения по существу коллегиальным составом судей. Кроме того, данная процедура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а, по сути, представляет собой повторное изучение доводов, изложенных в кассационной жалобе, Председателем Верховного Суда Российской Федерации,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(Определение Конституционного Суда Российской Федерации от 25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«Лизинговая Компания Независимого Строительного Банка»,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