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904992-О/2026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Париловой Антонины Сергеевны на нарушение ее конституционных прав статьей 129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А.С.Париловой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А.С.Парилова оспаривает конституционность статьи 129 ГПК Российской Федерации, регламентирующей порядок отмены судебного приказа. Как следует из представленных материалов, судебный приказ от 3 октября 2019 года о взыскании по заявлению А.С.Париловой алиментов на содержание несовершеннолетнего ребенка был отменен по заявлению должника 27 мая 2020 года с восстановлением ему пропущенного процессуального срока подачи заявления о такой отмене. Впоследствии по иску А.С.Париловой к тому же лицу было принято решение суда от 13 мая 2021 года 2 (оставлено без изменения вышестоящими судами) о взыскании алиментов на содержание несовершеннолетнего ребенка с даты подачи искового заявления – 24 февраля 2021 года и до наступления совершеннолетия ребенка. При этом суды отклонили довод заявительницы о необходимости присуждения алиментов с 3 октября 2019 года – даты вынесения отмененного впоследствии судебного приказа, поскольку, помимо прочего, с учетом исследованных обстоятельств поведения сторон спора не было выявлено оснований для применения положений пункта 2 статьи 107 Семейного кодекса Российской Федерации, в соответствии с которыми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Впоследствии определением суда общей юрисдикции, оставленным без изменения судом апелляционной инстанции, А.С.Париловой отказано в удовлетворении заявления о пересмотре решения этого суда от 13 мая 2021 года по новым обстоятельствам – в связи с принятием Постановления Конституционного Суда Российской Федерации от 20 ноября 2023 года № 53- П. По мнению заявительницы, после отмены судебного приказа о взыскании алиментов по истечении установленного законом срока на такую отмену без надлежащей оценки уважительности причин пропуска этого срока она имеет право при подаче искового заявления с тем же требованием к тому же лицу на взыскание алиментов с момента первоначального обращения в суд с заявлением о выдаче судебного приказа, однако в связи с противоречием статьи 129 ГПК Российской Федерации Конституции Российской Федерации, ее статьям 7, 38 (части 1 и 2), 46 (части 1 и 2), 55 (часть 3) и 671 (часть 4), она не может реализовать это право.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Париловой Антонины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