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904987-О/2026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 на нарушение его конституционных прав статьей 151 и пунктом 2 статьи 1101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Ч. оспаривает конституционность статьи 151 «Компенсация морального вреда» и пункта 2 статьи 1101 «Способ и размер компенсации морального вреда» ГК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по иску Ч. с медицинской организации взыскана компенсация морального вреда, причиненного в связи с применением в отношении гражданки Т. вспомогательных репродуктивных технологий без получения добровольного информированного согласия заявителя, в результате чего он стал биологическим отцом двух детей. При этом размер компенсации морального вреда снижен судом по сравнению с заявленным в иске (с 5 000 000 руб. до 2 30 000 руб.) с учетом предшествующего и последующего поведения истца, который ранее дважды давал добровольное информированное согласие на применение в отношении Т. вспомогательных репродуктивных технологий, неоднократно участвовал в процедурах лечения ее бесплодия в качестве партнера, сдавал необходимые анализы и проходил иные обследования, а после рождения детей добровольно установил отцовство и выплачивал алименты.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Ч. для рассмотрения в судебном заседании суда кассационной инстанции. По мнению заявителя, оспариваемые положения не соответствуют статьям 2, 17–19, 21–24, 41, 46, 55 (часть 3) и 56 (часть 3) Конституции Российской Федерации, поскольку позволяют судам определять размер компенсации морального вреда, причиненного в результате применения вспомогательных репродуктивных технологий без получения добровольного информированного согласия потерпевшего, с учетом таких обстоятельств, как результат незаконного применения вспомогательных репродуктивных технологий, предшествующие намерения и последующие действия потерпевшего, обусловленные наступившими для него неблагоприятными последствиями, непосредственно не относящиеся к факту причинения ему морального вреда и не свидетельствующие о наличии провокации с его стороны либо его умысла на причинение ему вреда.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151 и пункт 2 статьи 1101 ГК Российской Федерации, в том числе закрепляющие общие принципы определения размера компенсации морального вреда, предусматривают, что ее размер определяется судом в зависимости от характера причиненных потерпевшему физических и нравственных страданий, степени вины причинителя вреда и иных заслуживающих внимание обстоятельств с учетом требований разумности и 3 справедливости. Как дополнительно разъяснил Пленум Верховного Суда Российской Федерации, тяжесть причиненных потерпевшему физических и нравственных страданий оценивается судом с учетом заслуживающих внимания фактических обстоятельств дела, к которым могут быть отнесены любые обстоятельства, влияющие на степень и характер таких страданий; при определении размера компенсации морального вреда судам следует принимать во внимание, в частности: существо и значимость тех прав и нематериальных благ потерпевшего, которым причинен вред; характер и степень умаления таких прав и благ (интенсивность, масштаб и длительность неблагоприятного воздействия), которые подлежат оценке с учетом способа причинения вреда, а также поведение самого потерпевшего при причинении вреда и последствия причинения потерпевшему страданий, кроме того, суду необходимо устанавливать, допущено ли причинителем вреда единичное или множественное нарушение прав гражданина или посягательство на принадлежащие ему нематериальные блага (пункт 27 постановления от 15 ноября 2022 года № 33 «О практике применения судами норм о компенсации морального вреда»). Применяя общее правовое предписание к конкретным обстоятельствам дела, судья принимает решение в пределах предоставленной ему законом свободы усмотрения, что не может расцениваться как нарушение каких-либо конституционных прав гражданина (определения Конституционного Суда Российской Федерации от 20 ноября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