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904919-О/2026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И. на нарушение ее конституционных прав пунктом 1 статьи 65 и статьей 66 Семейного кодекса Российской Федерации, а также статьей 198 и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 оспаривает конституционность пункта 1 статьи 65 «Осуществление родительских прав» и статьи 66 «Осуществление родительских прав родителем, проживающим отдельно от ребенка» Семейного кодекса Российской Федерации, а также статьи 198 «Содержание решения суда» и пункта 1 части второй статьи 3907 «Рассмотрение кассационных жалобы, представления» ГПК Российской Федерации. Из представленных материалов следует, что суд апелляционной инстанции отменил решение суда общей юрисдикции, которым, среди прочего, был определен порядок общения отца, проживающего отдельно от ребенка, с несовершеннолетним сыном И., и, в частности, изменил 2 установленный ранее в судебном порядке порядок их общения. Суд апелляционной инстанции указал, что суд первой инстанции определил порядок общения без учета интересов несовершеннолетнего ребенка и всех заслуживающих внимания обстоятельств. В передаче кассационной жалобы И. на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пункт 1 статьи 65 Семейного кодекса Российской Федерации противоречит статье 38 Конституции Российской Федерации, поскольку он позволяет при определении порядка общения с ребенком родителя, проживающего отдельно от него, не учитывать мнение и желания ребенка, приоритет его интересов и принуждать его к общению, а статья 66 того же Кодекса – ее статьям 21 и 38, поскольку она, предоставляя равные права родителям, не отдает приоритета защите интересов ребенка от злоупотребления родительскими правами. Заявительница также указывает, что пункт 2 статьи 66 Семейного кодекса Российской Федерации противоречит Конституции Российской Федерации, поскольку он понимается как закрепляющий безусловное право родителя общаться с ребенком и допускающий принуждение ребенка к общению с родителем. Кроме того, И. указывает, что оспариваемые положения Гражданского процессуального кодекса Российской Федерации не соответствуют статье 46 Конституции Российской Федерации: статья 198 – как не обязывающая суды мотивировать отклонение доказательств того, что ребенку причиняется вред, и допускающая формальное разрешение споров без исследования всех доказательств; пункт 1 части второй статьи 3907 ГПК Российской Федерации – поскольку он позволяет отказывать в пересмотре судебных постановлений на основе формального отсутствия существенного нарушения норм права, не оценивая доказательств нарушения интересов ребенка и не учитывая фактические обстоятельства дела. 3 Таким образом, заявительница, требующая также дать конституционно-правовое истолкование оспариваемых норм, предполагающее, что ребенок вправе, а не обязан общаться с родителем и что недопустимо принуждать ребенка к общению, по существу, приводит доводы о нарушении конституционных прав своего несовершеннолетнего сына.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Конвенцией о правах ребенка (принята Генеральной Ассамблеей ООН 20 ноября 1989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(пункт 1 статьи 3). Принцип приоритетной защиты прав и интересов несовершеннолетних членов семьи закреплен в пункте 3 статьи 1 Семейного кодекса Российской Федерации, что согласуется с положениями Конституции Российской Федерации (статья 38, часть 1; статья 671, часть 4) (определения Конституционного Суда Российской Федерации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