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905066-П/2026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Кудряшова Александра Николаевича на нарушение его конституционных прав Уголовно-процессуальным кодексом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А.Н.Кудряшова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удовлетворении доводов надзорной жалобы гражданина А.Н.Кудряшова, отбывающего наказание в виде пожизненного лишения свободы, о пересмотре вынесенных в его отношении судебных решений в части удовлетворения гражданского иска. А.Н.Кудряшов просит признать не соответствующим статьям 35 и 46 (часть 1) Конституции Российской Федерации Уголовно-процессуальный кодекс Российской Федерации – упоминая, главным образом, часть первую 2 его статьи 54 «Гражданский ответчик», – как позволяющий суду при рассмотрении уголовного дела принимать решение о взыскании в пользу гражданского истца компенсации морального вреда с осужденного, не признававшегося гражданским ответчиком.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 статье 54 закрепляет процессуальный статус гражданского ответчика в уголовном судопроизводстве. При этом, как неоднократно отмечал Конституционный Суд Российской Федерации, суду в каждом конкретном случае на основе собранных доказательств и материалов уголовного дела надлежит установить лицо, ответственное по гражданскому иску (определения от 16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Кудряшова Александра Николаевича,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