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904953-О/2026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А. на нарушение его конституционных прав пунктом 2 статьи 51, а также абзацем вторым пункта 1 и пунктом 2 статьи 52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 оспаривает конституционность пункта 2 статьи 51 «Запись родителей ребенка в книге записей рождений», а также абзаца второго пункта 1 и пункта 2 статьи 52 «Оспаривание отцовства (материнства)»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А., направленного на оспаривание отцовства его сына (наследодателя) в отношении несовершеннолетнего ребенка. Суд первой инстанции указал, что отцовство установлено на основании добровольного волеизъявления наследодателя в отсутствие достоверных данных о происхождении от него ребенка и что не 2 представлены доказательства составления записи акта об установлении отцовства на основании подложных документов.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19 (части 1 и 2), 35 (часть 4), 46 (часть 1) и 55 (часть 3) Конституции Российской Федерации, поскольку по смыслу, придаваемому им правоприменительной практикой, они не позволяют оспорить запись об отце ребенка наследнику лица, записанного в качестве отца ребенка, но отцом ребенка не являющегося, несмотря на намерение наследодателя оспорить свое отцовство и представленные доказательства обоснованности сомнений в происхождении ребенка.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51 Семейного кодекса Российской Федерации во взаимосвязи с иными положениями названного Кодекса обеспечивает защиту прав детей, родители которых не состоят в браке между собой, и согласуется с принципом государственной поддержки и защиты семьи, материнства, отцовства и детства, закрепленным в статьях 7 (часть 2) и 38 (часть 1) Конституции Российской Федерации (определения Конституционного Суда Российской Федерации от 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А., поскольку она не отвечает требованиям Федерального конституционного закона «О Конституционном Суде Российской Федерации», в соответствии с 4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