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904822-О/2026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Качуры Дениса Дмитриевича на нарушение его конституционных прав абзацем первым пункта 6 статьи 142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Д.Д.Качуры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Вынесенным в рамках дела о несостоятельности (банкротстве) хозяйственного общества определением арбитражного суда, с которым согласились суды вышестоящих инстанций, удовлетворено заявление о взыскании с гражданина Д.Д.Качуры (конкурсного управляющего должника) убытков, причиненных кредитору в результате ненадлежащего исполнения им обязанностей конкурсного управляющего. При этом суды исходили из доказанности недобросовестности действий Д.Д.Качуры, повлекших убытки для кредитора. Д.Д.Качура оспаривает конституционность абзаца первого пункта 6 статьи 142 «Расчеты с кредиторами в ходе конкурсного производства» 2 Федерального закона от 26 октября 2002 года № 127-ФЗ «О несостоятельности (банкротстве)». По мнению заявителя, данное законоположение противоречит статьям 1, 15, 17, 19, 34, 35, 46 и 55 Конституции Российской Федерации в той мере, в какой оно по смыслу, придаваемому ему сложившейся судебной практикой, допускает возложение на конкурсного управляющего обязанности резервировать денежные средства и последующую гражданско-правовую ответственность за неисполнение этой обязанности при отсутствии рассматриваемых в суде на момент начала расчетов с кредиторами соответствующей очереди разногласий между конкурсным управляющим и кредитором по заявленному требованию кредитора.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абзацу первому пункта 6 статьи 142 Федерального закона «О несостоятельности (банкротстве)» в случае наличия рассматриваемых в арбитражном суде (суде) на момент начала расчетов с кредиторами соответствующей очереди разногласий между конкурсным управляющим и кредитором по заявленному требованию кредитора конкурсный управляющий обязан зарезервировать денежные средства в размере, достаточном для пропорционального удовлетворения требований соответствующего кредитора. Данное положение, направленное на защиту имущественных интересов кредиторов, не может расцениваться как нарушающее конституционные права заявителя, в деле с участием которого суды пришли к выводу, что он, действуя добросовестно и разумно и зная о наличии длящегося спора между банком и должником по поводу вопроса о признании за банком статуса залогового кредитора в отношении недвижимого имущества, должен был зарезервировать денежные средства в размере не менее 80% от стоимости реализованного недвижимого имущества до окончания судебного 3 разбирательства по установлению залогового статуса банка, что им не было сделано. Установление же и оценка фактических обстоятельств конкретного дела, а также проверка правильности применения судами оспариваемого положения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Качуры Дениса Дмитриевича,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