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905006-О/2026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Павленко Владимира Витальевича на нарушение его конституционных прав частями первой – четвертой статьи 113, частями первой и второй статьи 117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В.В.Павленко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В.В.Павленко оспаривает конституционность частей первой – четвертой статьи 113 «Судебные извещения и вызовы», частей первой и второй статьи 117 «Надлежащее извещение»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удовлетворены заявленные к В.В.Павленко исковые требования о разделе совместно нажитого имущества. Определением судьи Верховного Суда Российской Федерации представителю заявителя было отказано в передаче кассационной жалобы для 2 рассмотрения в судебном заседании Судебной коллегии по гражданским делам этого суда. По мнению В.В.Павленко,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статье 46 Конституции Российской Федерации, поскольку позволяют суду не извещать о судебном заседании представителя лица, участвующего в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Павленко Владимира Витальевича,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