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904983-П/2026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«Алтайхимпроминвест» на нарушение его конституционных прав применением части 3 статьи 179 Арбитражного процессуального кодекса Российской Федерации и неприменением части 1 статьи 111 этого Кодекса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акционерного общества «Алтайхимпроминвест»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 учетом его изменения постановлением суда апелляционной инстанции исковое заявление акционерного общества «Алтайхимпроминвест» о взыскании денежных средств удовлетворено частично. Впоследствии определениями арбитражного суда, оставленными без изменения судами апелляционной и кассационной инстанций, в порядке процессуального правопреемства произведена замена ответчика по делу на другое лицо в части взыскания судебных издержек по договору оказания юридических услуг, а также в 2 определении о процессуальном правопреемстве исправлена опечатка в части указания на сумму судебных расходов, подлежащую взысканию с заявителя. В связи с этим общество полагает, что применение арбитражными судами в его деле части 3 статьи 179 «Разъяснение решения. Исправление описок, опечаток и арифметических ошибок» АПК Российской Федерации без учета требований, содержащихся в части 5 статьи 170 «Содержание решения» и части 1 статьи 171 «Решение о взыскании денежных средств и присуждении имущества» данного Кодекса, и при этом неприменение в этом деле части 1 статьи 111 «Отнесение судебных расходов на лицо, злоупотребляющее своими процессуальными правами» того же Кодекса нарушило его права, гарантированные статьями 35 и 46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 общества, приведенные в обоснование своей позиции, в том числе о нарушении конституционных прав вследствие изолированного применения арбитражными судами в его деле части 3 статьи 179 АПК Российской Федерации, а также неприменения ими части 1 статьи 111 этого Кодекса, свидетельствуют о том, что заявитель, по существу,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«Алтайхимпроминвест»,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