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905252-О/2026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Лушина Павла Анатольевича на нарушение его конституционных прав статьей 3391 и подпунктом 2 пункта 1 статьи 352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П.А.Лушина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П.А.Лушин оспаривает конституционность статьи 3391 «Государственная регистрация и учет залога» (а фактически – ее пункта 4) и подпункта 2 пункта 1 статьи 352 «Прекращение залога» ГК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П.А.Лушина о признании его добросовестным приобретателем заложенного транспортного средства, на которое ранее в другом деле было обращено взыскание. Суды указали, что до 2 приобретения транспортного средства П.А.Лушиным сведения о залоге были внесены в реестр уведомлений о залоге движимого имущества. Суд первой инстанции также отметил, что иск направлен на преодоление вступившего в законную силу судебного решения. Отклоняя доводы заявителя, ссылавшегося в том числе на отсутствие сведений о залоге в паспорте транспортного средства, суд апелляционной инстанции подчеркнул, что законом предусмотрен специальный порядок учета залога движимого имущества. В передаче кассационной жалобы П.А.Лушина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2, 8, 35 (часть 1), 45 (часть 1), 46 (часть 1), 52 и 55 (часть 3) Конституции Российской Федерации. Как указывает П.А.Лушин, он с учетом обстоятельств дела не знал и не мог узнать о залоге транспортного средства.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Лушина Павла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