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Хусяиновой Эрики Хайдаровны на нарушение ее конституционных прав рядом норм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гражданки Э.Х.Хусяиновой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Э.Х.Хусяинова оспаривает конституционность пунктов 2 и 3 статьи 5 «Права гражданина при рассмотрении обращения», частей 3 и 6 статьи 8 «Направление и регистрация письменного обращения», части 1 статьи 9 «Обязательность принятия обращения к рассмотрению» и пункта 4 части 1 статьи 10 «Рассмотрение обращения» Федерального закона от 2 мая 2006 года № 59-ФЗ «О порядке рассмотрения обращений граждан Российской Федерации». 2 Как следует из представленных материалов, суды отказали в удовлетворении административных исковых заявлений Э.Х.Хусяиновой об оспаривании ответов следственного органа на ее обращения. По мнению заявительницы, оспариваемые законоположения не соответствуют статьям 24 (часть 2) и 33 Конституции Российской Федерации, поскольку не гарантируют всестороннее рассмотрение жалобы должностным лицом, в чью компетенцию входит ее рассмотрение, позволяют должностному лицу не давать ответ по существу поставленных в обращении вопросов, а также не позволяют ознакамливать гражданина с документами и материалами, касающимися рассмотрения его обращения.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Хусяиновой Эрики Хайдаровны,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