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905259-П/2026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Гуляева Павла Александровича на нарушение его конституционных прав частями 3 и 4 статьи 12.15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П.А.Гуляева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П.А.Гуляев оспаривает конституционность частей 3 и 4 статьи 12.15 «Нарушение правил расположения транспортного средства на проезжей части дороги, встречного разъезда или обгона» КоАП Российской Федерации. Как следует из представленных материалов, постановлением мирового судьи, оставленным без изменения решением судьи районного суда, П.А.Гуляев был признан виновным в совершении административного правонарушения, предусмотренного частью 4 статьи 12.15 КоАП Российской Федерации. Судья кассационного суда общей юрисдикции, установив, что постановление по делу 2 об административном правонарушении было вынесено за пределами срока давности привлечения к административной ответственности, отменил судебные акты и прекратил производство по делу. С этим согласился судья Верховного Суда Российской Федерации. По мнению заявителя, оспариваемые законоположения не соответствуют статьям 17 (часть 1), 19 (часть 1) и 46 (части 1 и 2) Конституции Российской Федерации, поскольку допускают произвольное применение и не позволяют разграничивать предусмотренные ими административные правонарушения.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Гуляева Павла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