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Самсонова Дмитрия Александровича на нарушение его конституционных прав частью 15 статьи 8.2 Закона Саратовской области «Об административных правонарушениях на территории Саратовской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Д.А.Самсонова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Д.А.Самсонов оспаривает конституционность части 15 статьи 8.2 Закона Саратовской области от 29 июля 2009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Размещение транспортного средства на зеленых насаждениях как элементах объекта благоустройства – независимо от того, причиняется ли зеленым насаждениям непосредственный вред, – является нарушением санитарного и эстетического состояния территории города, негативно сказывается на безопасности и комфортности условий проживания граждан, а также затрудняет содержание и облагораживание объектов благоустройства (Определение Конституционного Суда Российской Федерации от 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Самсонова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