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910208-О/2026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Киньягуловой Регины Хатмулловны и Мухаматганеева Марата Вазиховича на нарушение их конституционных прав положениями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 Р.Х.Киньягуловой и М.В.Мухаматганеева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Р.Х.Киньягулова и М.В.Мухаматганеев оспаривают конституционность положений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было отказано в удовлетворении заявления Р.Х.Киньягуловой и М.В.Мухаматганеева о пересмотре вступившего в законную силу решения того же суда по вновь открывшимся обстоятельствам. 2 Определением судьи Верховного Суда Российской Федерации заявителям отказано в передаче кассационной жалобы для рассмотрения в судебном заседании Судебной коллегии по гражданским делам этого суда. По мнению Р.Х.Киньягуловой и М.В.Мухаматганеева, оспариваемые законоположения противоречат статьям 15 (часть 2), 17–19, 38 и 46 (части 1 и 2) Конституции Российской Федерации, поскольку позволили суду не расценивать указанные ими обстоятельства в качестве оснований для пересмотра дела, что лишило их возможности судебной защиты прав.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Киньягуловой Регины Хатмулловны и Мухаматганеева Марата Вазиховича,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